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6FD" w:rsidRDefault="00AF044F">
      <w:r>
        <w:t>Name</w:t>
      </w:r>
      <w:proofErr w:type="gramStart"/>
      <w:r>
        <w:t>:_</w:t>
      </w:r>
      <w:proofErr w:type="gramEnd"/>
      <w:r>
        <w:t>_____________________________Date:___________________________Period:________</w:t>
      </w:r>
    </w:p>
    <w:p w:rsidR="00AC3D03" w:rsidRPr="00AC3D03" w:rsidRDefault="00AF044F" w:rsidP="00AC3D03">
      <w:pPr>
        <w:jc w:val="center"/>
        <w:rPr>
          <w:b/>
          <w:sz w:val="28"/>
          <w:szCs w:val="28"/>
        </w:rPr>
      </w:pPr>
      <w:r w:rsidRPr="00AC3D03">
        <w:rPr>
          <w:b/>
          <w:sz w:val="28"/>
          <w:szCs w:val="28"/>
        </w:rPr>
        <w:t xml:space="preserve">Segregation &amp; Discrimination Ch15.4 </w:t>
      </w:r>
      <w:r w:rsidR="00AC3D03" w:rsidRPr="00AC3D03">
        <w:rPr>
          <w:b/>
          <w:sz w:val="28"/>
          <w:szCs w:val="28"/>
        </w:rPr>
        <w:t>p.511</w:t>
      </w:r>
    </w:p>
    <w:p w:rsidR="00AF044F" w:rsidRPr="00AC3D03" w:rsidRDefault="00AC3D03" w:rsidP="00AC3D03">
      <w:pPr>
        <w:jc w:val="center"/>
      </w:pPr>
      <w:r>
        <w:rPr>
          <w:sz w:val="28"/>
          <w:szCs w:val="28"/>
        </w:rPr>
        <w:t xml:space="preserve">United States Supreme Court Landmark Case: </w:t>
      </w:r>
      <w:r w:rsidR="00AF044F" w:rsidRPr="00AC3D03">
        <w:rPr>
          <w:b/>
          <w:sz w:val="28"/>
          <w:szCs w:val="28"/>
        </w:rPr>
        <w:t>Plessy vs. Ferguson</w:t>
      </w:r>
      <w:r w:rsidR="002100D3">
        <w:rPr>
          <w:b/>
          <w:sz w:val="28"/>
          <w:szCs w:val="28"/>
        </w:rPr>
        <w:t xml:space="preserve"> 1896</w:t>
      </w:r>
    </w:p>
    <w:p w:rsidR="00AF044F" w:rsidRDefault="00AF044F" w:rsidP="00AF044F">
      <w:pPr>
        <w:jc w:val="center"/>
      </w:pPr>
      <w:r>
        <w:t xml:space="preserve"> </w:t>
      </w:r>
    </w:p>
    <w:tbl>
      <w:tblPr>
        <w:tblStyle w:val="TableGrid"/>
        <w:tblW w:w="9696" w:type="dxa"/>
        <w:tblLook w:val="04A0"/>
      </w:tblPr>
      <w:tblGrid>
        <w:gridCol w:w="4848"/>
        <w:gridCol w:w="4848"/>
      </w:tblGrid>
      <w:tr w:rsidR="00AF044F" w:rsidTr="00AC3D03">
        <w:trPr>
          <w:trHeight w:val="552"/>
        </w:trPr>
        <w:tc>
          <w:tcPr>
            <w:tcW w:w="4848" w:type="dxa"/>
          </w:tcPr>
          <w:p w:rsidR="00AF044F" w:rsidRPr="00AC3D03" w:rsidRDefault="00AC3D03" w:rsidP="00AF044F">
            <w:pPr>
              <w:jc w:val="center"/>
              <w:rPr>
                <w:sz w:val="36"/>
                <w:szCs w:val="36"/>
              </w:rPr>
            </w:pPr>
            <w:r w:rsidRPr="00AC3D03">
              <w:rPr>
                <w:sz w:val="36"/>
                <w:szCs w:val="36"/>
              </w:rPr>
              <w:t>Majority Opinion</w:t>
            </w:r>
          </w:p>
        </w:tc>
        <w:tc>
          <w:tcPr>
            <w:tcW w:w="4848" w:type="dxa"/>
          </w:tcPr>
          <w:p w:rsidR="00AF044F" w:rsidRPr="00AC3D03" w:rsidRDefault="00AC3D03" w:rsidP="00AF044F">
            <w:pPr>
              <w:jc w:val="center"/>
              <w:rPr>
                <w:sz w:val="36"/>
                <w:szCs w:val="36"/>
              </w:rPr>
            </w:pPr>
            <w:r w:rsidRPr="00AC3D03">
              <w:rPr>
                <w:sz w:val="36"/>
                <w:szCs w:val="36"/>
              </w:rPr>
              <w:t>Minority Opinion</w:t>
            </w:r>
          </w:p>
        </w:tc>
      </w:tr>
      <w:tr w:rsidR="00AC3D03" w:rsidTr="00AC3D03">
        <w:trPr>
          <w:trHeight w:val="4553"/>
        </w:trPr>
        <w:tc>
          <w:tcPr>
            <w:tcW w:w="4848" w:type="dxa"/>
          </w:tcPr>
          <w:p w:rsidR="00AC3D03" w:rsidRPr="00AC3D03" w:rsidRDefault="00AC3D03" w:rsidP="00AC3D03">
            <w:pPr>
              <w:rPr>
                <w:sz w:val="32"/>
                <w:szCs w:val="32"/>
              </w:rPr>
            </w:pPr>
            <w:r w:rsidRPr="00AC3D03">
              <w:rPr>
                <w:b/>
                <w:sz w:val="32"/>
                <w:szCs w:val="32"/>
              </w:rPr>
              <w:t>Justice Henry Brown</w:t>
            </w:r>
            <w:r w:rsidRPr="00AC3D03">
              <w:rPr>
                <w:sz w:val="32"/>
                <w:szCs w:val="32"/>
              </w:rPr>
              <w:t>- “ the object of the 14</w:t>
            </w:r>
            <w:r w:rsidRPr="00AC3D03">
              <w:rPr>
                <w:sz w:val="32"/>
                <w:szCs w:val="32"/>
                <w:vertAlign w:val="superscript"/>
              </w:rPr>
              <w:t>th</w:t>
            </w:r>
            <w:r w:rsidRPr="00AC3D03">
              <w:rPr>
                <w:sz w:val="32"/>
                <w:szCs w:val="32"/>
              </w:rPr>
              <w:t xml:space="preserve"> Amendment is to enforce equality of two races before the law…but…not intended to force social equality or the comingling of the two races….it does not imply inferiority</w:t>
            </w:r>
          </w:p>
        </w:tc>
        <w:tc>
          <w:tcPr>
            <w:tcW w:w="4848" w:type="dxa"/>
          </w:tcPr>
          <w:p w:rsidR="00AC3D03" w:rsidRPr="00AC3D03" w:rsidRDefault="00AC3D03" w:rsidP="00AC3D03">
            <w:pPr>
              <w:rPr>
                <w:sz w:val="32"/>
                <w:szCs w:val="32"/>
              </w:rPr>
            </w:pPr>
            <w:r w:rsidRPr="00AC3D03">
              <w:rPr>
                <w:b/>
                <w:sz w:val="32"/>
                <w:szCs w:val="32"/>
              </w:rPr>
              <w:t>Justice John Harlan</w:t>
            </w:r>
            <w:r>
              <w:rPr>
                <w:sz w:val="32"/>
                <w:szCs w:val="32"/>
              </w:rPr>
              <w:t xml:space="preserve"> – “in the view of the Constitution , in the eye of the law, there is in this country no superior, dominant, ruling class of citizens…it is to be regretted…the conclusion that it is competent for a state to regulate civil rights solely on the basis of race.”</w:t>
            </w:r>
          </w:p>
        </w:tc>
      </w:tr>
    </w:tbl>
    <w:p w:rsidR="00AF044F" w:rsidRDefault="00AF044F" w:rsidP="00AF044F">
      <w:pPr>
        <w:jc w:val="center"/>
      </w:pPr>
    </w:p>
    <w:p w:rsidR="00AF044F" w:rsidRDefault="00AC3D03" w:rsidP="00AC3D03">
      <w:r>
        <w:t>After studying the court d</w:t>
      </w:r>
      <w:r w:rsidR="002100D3">
        <w:t>ecisions what could you infer about the lives of African-Americans in the United States for the next fifty years???</w:t>
      </w:r>
    </w:p>
    <w:sectPr w:rsidR="00AF044F" w:rsidSect="00C956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044F"/>
    <w:rsid w:val="002100D3"/>
    <w:rsid w:val="00AC3D03"/>
    <w:rsid w:val="00AF044F"/>
    <w:rsid w:val="00C9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4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dcterms:created xsi:type="dcterms:W3CDTF">2011-10-26T03:24:00Z</dcterms:created>
  <dcterms:modified xsi:type="dcterms:W3CDTF">2011-10-26T03:24:00Z</dcterms:modified>
</cp:coreProperties>
</file>